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9F" w:rsidRPr="00016D0D" w:rsidRDefault="00E21D9F" w:rsidP="00E21D9F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poprawiony </w:t>
      </w:r>
      <w:r w:rsidRPr="00016D0D">
        <w:rPr>
          <w:rFonts w:ascii="Tahoma" w:hAnsi="Tahoma" w:cs="Tahoma"/>
          <w:b/>
        </w:rPr>
        <w:t>Załącznik nr 1A-</w:t>
      </w:r>
      <w:r>
        <w:rPr>
          <w:rFonts w:ascii="Tahoma" w:hAnsi="Tahoma" w:cs="Tahoma"/>
          <w:b/>
        </w:rPr>
        <w:t>33</w:t>
      </w:r>
      <w:r w:rsidRPr="00016D0D">
        <w:rPr>
          <w:rFonts w:ascii="Tahoma" w:hAnsi="Tahoma" w:cs="Tahoma"/>
          <w:b/>
        </w:rPr>
        <w:t xml:space="preserve"> do SIWZ</w:t>
      </w:r>
    </w:p>
    <w:p w:rsidR="00E21D9F" w:rsidRPr="00016D0D" w:rsidRDefault="00E21D9F" w:rsidP="00E21D9F">
      <w:pPr>
        <w:spacing w:after="0"/>
        <w:jc w:val="right"/>
        <w:rPr>
          <w:rFonts w:ascii="Tahoma" w:hAnsi="Tahoma" w:cs="Tahoma"/>
          <w:b/>
        </w:rPr>
      </w:pPr>
      <w:r w:rsidRPr="00016D0D">
        <w:rPr>
          <w:rFonts w:ascii="Tahoma" w:hAnsi="Tahoma" w:cs="Tahoma"/>
          <w:b/>
        </w:rPr>
        <w:t xml:space="preserve">(do zadania nr </w:t>
      </w:r>
      <w:r>
        <w:rPr>
          <w:rFonts w:ascii="Tahoma" w:hAnsi="Tahoma" w:cs="Tahoma"/>
          <w:b/>
        </w:rPr>
        <w:t>33</w:t>
      </w:r>
      <w:r w:rsidRPr="00016D0D">
        <w:rPr>
          <w:rFonts w:ascii="Tahoma" w:hAnsi="Tahoma" w:cs="Tahoma"/>
          <w:b/>
        </w:rPr>
        <w:t>)</w:t>
      </w:r>
    </w:p>
    <w:p w:rsidR="00E21D9F" w:rsidRPr="00016D0D" w:rsidRDefault="00E21D9F" w:rsidP="00E21D9F">
      <w:pPr>
        <w:keepNext/>
        <w:shd w:val="clear" w:color="auto" w:fill="D9D9D9"/>
        <w:jc w:val="center"/>
        <w:outlineLvl w:val="0"/>
        <w:rPr>
          <w:rFonts w:ascii="Tahoma" w:hAnsi="Tahoma" w:cs="Tahoma"/>
          <w:b/>
          <w:bCs/>
          <w:color w:val="000000"/>
          <w:sz w:val="22"/>
        </w:rPr>
      </w:pPr>
      <w:r w:rsidRPr="00016D0D">
        <w:rPr>
          <w:rFonts w:ascii="Tahoma" w:hAnsi="Tahoma" w:cs="Tahoma"/>
          <w:b/>
          <w:i/>
          <w:sz w:val="22"/>
          <w:u w:val="single"/>
        </w:rPr>
        <w:t>WYMAGANE PARAMETRY/WARUNKI TECHNICZNE SPRZĘTU</w:t>
      </w:r>
    </w:p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  <w:r w:rsidRPr="00BB1231">
        <w:rPr>
          <w:rStyle w:val="Tytuksiki"/>
          <w:rFonts w:ascii="Tahoma" w:hAnsi="Tahoma" w:cs="Tahoma"/>
          <w:i w:val="0"/>
        </w:rPr>
        <w:t>ZADANIE NR 33</w:t>
      </w:r>
    </w:p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  <w:r w:rsidRPr="00BB1231">
        <w:rPr>
          <w:rStyle w:val="Tytuksiki"/>
          <w:rFonts w:ascii="Tahoma" w:hAnsi="Tahoma" w:cs="Tahoma"/>
          <w:i w:val="0"/>
        </w:rPr>
        <w:t>CEWNIKI JEDNORAZOWEGO UŻYTKU DO APARATU ULTRASONOGARII WEWNĄTRZWIEŃCOWEJ WRAZ Z DZIERŻAWĄ</w:t>
      </w:r>
    </w:p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  <w:gridCol w:w="1842"/>
      </w:tblGrid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L.p.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WYMAGANE PARAMETRY/WARUNKI TECHNICZNE  SPRZĘTU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Potwierdzenie wymaganych warunków</w:t>
            </w:r>
          </w:p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TAK / NIE</w:t>
            </w:r>
          </w:p>
        </w:tc>
      </w:tr>
      <w:tr w:rsidR="00E21D9F" w:rsidRPr="00BB1231" w:rsidTr="004348F1">
        <w:tc>
          <w:tcPr>
            <w:tcW w:w="10314" w:type="dxa"/>
            <w:gridSpan w:val="3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Zadanie nr 33 poz. 1</w:t>
            </w:r>
          </w:p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Sonda do badań naczyń wieńcowych IVUS</w:t>
            </w: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Sonda elektroniczna do obrazowania wewnątrznaczyniowej ultrasonografii o częstotliwości 20 MHz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Długość robocza minimum 150 cm, hydrofilna część dystalna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Dostępne co najmniej dwie długości końcówek – 10 mm i 2,5 mm (</w:t>
            </w:r>
            <w:proofErr w:type="spellStart"/>
            <w:r w:rsidRPr="00BB1231">
              <w:rPr>
                <w:rStyle w:val="Tytuksiki"/>
                <w:rFonts w:ascii="Tahoma" w:hAnsi="Tahoma" w:cs="Tahoma"/>
                <w:i w:val="0"/>
              </w:rPr>
              <w:t>short</w:t>
            </w:r>
            <w:proofErr w:type="spellEnd"/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 </w:t>
            </w:r>
            <w:proofErr w:type="spellStart"/>
            <w:r w:rsidRPr="00BB1231">
              <w:rPr>
                <w:rStyle w:val="Tytuksiki"/>
                <w:rFonts w:ascii="Tahoma" w:hAnsi="Tahoma" w:cs="Tahoma"/>
                <w:i w:val="0"/>
              </w:rPr>
              <w:t>tip</w:t>
            </w:r>
            <w:proofErr w:type="spellEnd"/>
            <w:r w:rsidRPr="00BB1231">
              <w:rPr>
                <w:rStyle w:val="Tytuksiki"/>
                <w:rFonts w:ascii="Tahoma" w:hAnsi="Tahoma" w:cs="Tahoma"/>
                <w:i w:val="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Funkcja morfologicznej analizy blaszki miażdżycowej, wyświetlanie obrazów w różnych projekcjach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Sonda kompatybilna z cewnikiem prowadzącym 5F oraz prowadnikiem </w:t>
            </w:r>
            <w:proofErr w:type="spellStart"/>
            <w:r w:rsidRPr="00BB1231">
              <w:rPr>
                <w:rStyle w:val="Tytuksiki"/>
                <w:rFonts w:ascii="Tahoma" w:hAnsi="Tahoma" w:cs="Tahoma"/>
                <w:i w:val="0"/>
              </w:rPr>
              <w:t>angioplastycznym</w:t>
            </w:r>
            <w:proofErr w:type="spellEnd"/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 0,14”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System dostarczania typu </w:t>
            </w:r>
            <w:proofErr w:type="spellStart"/>
            <w:r w:rsidRPr="00BB1231">
              <w:rPr>
                <w:rStyle w:val="Tytuksiki"/>
                <w:rFonts w:ascii="Tahoma" w:hAnsi="Tahoma" w:cs="Tahoma"/>
                <w:i w:val="0"/>
              </w:rPr>
              <w:t>Rapid</w:t>
            </w:r>
            <w:proofErr w:type="spellEnd"/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 Exchange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2A3883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  <w:highlight w:val="lightGray"/>
              </w:rPr>
            </w:pPr>
            <w:r w:rsidRPr="002A3883">
              <w:rPr>
                <w:rStyle w:val="Tytuksiki"/>
                <w:rFonts w:ascii="Tahoma" w:hAnsi="Tahoma" w:cs="Tahoma"/>
                <w:i w:val="0"/>
                <w:highlight w:val="lightGray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2A3883">
              <w:rPr>
                <w:rStyle w:val="Tytuksiki"/>
                <w:rFonts w:ascii="Tahoma" w:hAnsi="Tahoma" w:cs="Tahoma"/>
                <w:i w:val="0"/>
                <w:highlight w:val="lightGray"/>
              </w:rPr>
              <w:t>Cewnik zaopatrzony w znacznik pokazujący głębokość – trzy markery w odległości co 10 mm</w:t>
            </w: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Cewnik zaopatrzony w znacznik rentgenowski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Termin ważności min. 12 miesięcy od daty dostawy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10314" w:type="dxa"/>
            <w:gridSpan w:val="3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Zadanie  nr 33  poz. 2</w:t>
            </w:r>
          </w:p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Prowadnik do pomiaru gradientu </w:t>
            </w:r>
            <w:proofErr w:type="spellStart"/>
            <w:r w:rsidRPr="00BB1231">
              <w:rPr>
                <w:rStyle w:val="Tytuksiki"/>
                <w:rFonts w:ascii="Tahoma" w:hAnsi="Tahoma" w:cs="Tahoma"/>
                <w:i w:val="0"/>
              </w:rPr>
              <w:t>przezzwężeniowego</w:t>
            </w:r>
            <w:proofErr w:type="spellEnd"/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 FFR </w:t>
            </w:r>
          </w:p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  <w:iCs w:val="0"/>
              </w:rPr>
              <w:t>Dostępne dwie długości 185 i 300 cm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Dostępne prowadniki z końcówką prostą i zakrzywioną typu J 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Możliwość pomiaru gradientu </w:t>
            </w:r>
            <w:proofErr w:type="spellStart"/>
            <w:r w:rsidRPr="00BB1231">
              <w:rPr>
                <w:rStyle w:val="Tytuksiki"/>
                <w:rFonts w:ascii="Tahoma" w:hAnsi="Tahoma" w:cs="Tahoma"/>
                <w:i w:val="0"/>
              </w:rPr>
              <w:t>przezzwężeniowego</w:t>
            </w:r>
            <w:proofErr w:type="spellEnd"/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 FFR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Możliwość pomiaru gradientu </w:t>
            </w:r>
            <w:proofErr w:type="spellStart"/>
            <w:r w:rsidRPr="00BB1231">
              <w:rPr>
                <w:rStyle w:val="Tytuksiki"/>
                <w:rFonts w:ascii="Tahoma" w:hAnsi="Tahoma" w:cs="Tahoma"/>
                <w:i w:val="0"/>
              </w:rPr>
              <w:t>przezzwężeniowego</w:t>
            </w:r>
            <w:proofErr w:type="spellEnd"/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 bez konieczności maksymalnej hiperemii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Czujnik w odległości 3 cm od części dystalnej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Średnica prowadnika 0,14”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Pokrycie hydrofilne w części dystalnej i PTFE w części proksymalnej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Prowadnik typu </w:t>
            </w:r>
            <w:proofErr w:type="spellStart"/>
            <w:r w:rsidRPr="00BB1231">
              <w:rPr>
                <w:rStyle w:val="Tytuksiki"/>
                <w:rFonts w:ascii="Tahoma" w:hAnsi="Tahoma" w:cs="Tahoma"/>
                <w:i w:val="0"/>
              </w:rPr>
              <w:t>plug&amp;play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Automatyczne rozpoznawanie rodzaju prowadnika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Możliwość uaktualniania oprogramowania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Termin ważności min. 12 miesięcy od daty dostawy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10314" w:type="dxa"/>
            <w:gridSpan w:val="3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lastRenderedPageBreak/>
              <w:t>Zadanie nr 33 poz. 3</w:t>
            </w:r>
          </w:p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Aparat do ultrasonografii wewnątrzwieńcowej oraz pomiaru gradientu</w:t>
            </w:r>
            <w:r>
              <w:rPr>
                <w:rStyle w:val="Tytuksiki"/>
                <w:rFonts w:ascii="Tahoma" w:hAnsi="Tahoma" w:cs="Tahoma"/>
                <w:i w:val="0"/>
              </w:rPr>
              <w:t xml:space="preserve"> nie starszy niż 2016 rok</w:t>
            </w: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Integracja aparatu z aparatem angiograficznym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Aparat współpracujący z kompatybilnymi 20 MHz sondami elektronicznymi IVUS oraz prowadnikami do   pomiaru gradientu </w:t>
            </w:r>
            <w:proofErr w:type="spellStart"/>
            <w:r w:rsidRPr="00BB1231">
              <w:rPr>
                <w:rStyle w:val="Tytuksiki"/>
                <w:rFonts w:ascii="Tahoma" w:hAnsi="Tahoma" w:cs="Tahoma"/>
                <w:i w:val="0"/>
              </w:rPr>
              <w:t>przezzwężeniowego</w:t>
            </w:r>
            <w:proofErr w:type="spellEnd"/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 – dwie technologie w jednym systemie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Możliwość ultrasonografii naczyń wieńcowych oraz obwodowych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Opcja pomiaru gradientu </w:t>
            </w:r>
            <w:proofErr w:type="spellStart"/>
            <w:r w:rsidRPr="00BB1231">
              <w:rPr>
                <w:rStyle w:val="Tytuksiki"/>
                <w:rFonts w:ascii="Tahoma" w:hAnsi="Tahoma" w:cs="Tahoma"/>
                <w:i w:val="0"/>
              </w:rPr>
              <w:t>przezzwężeniowego</w:t>
            </w:r>
            <w:proofErr w:type="spellEnd"/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 FFR oparta o pomiar bez użycia adenozyny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Automatyczne rozpoznawanie rodzaju sondy prowadnika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Obsługa urządzenia za pomocą konsoli sterującej zainstalowanej w sali zabiegowej oraz w sterowni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Funkcja analizy blaszki miażdżycowej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Możliwość wyświetlania obrazu w różnych projekcjach – przekroje podłużne i poprzeczne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Funkcja wspomagania interpretacji światła naczyniowego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rPr>
          <w:trHeight w:val="56"/>
        </w:trPr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Cyfrowy format przechowywania obrazów na CD, DVD wymiennym dysku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 xml:space="preserve">Możliwość uaktualniania oprogramowania, gwarancja min. 12 miesięcy 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  <w:tr w:rsidR="00E21D9F" w:rsidRPr="00BB1231" w:rsidTr="004348F1">
        <w:tc>
          <w:tcPr>
            <w:tcW w:w="534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  <w:r w:rsidRPr="00BB1231">
              <w:rPr>
                <w:rStyle w:val="Tytuksiki"/>
                <w:rFonts w:ascii="Tahoma" w:hAnsi="Tahoma" w:cs="Tahoma"/>
                <w:i w:val="0"/>
              </w:rPr>
              <w:t>Możliwość wydruku na kolorowej drukarce termicznej, kolorowy monitor min. 18”</w:t>
            </w:r>
          </w:p>
        </w:tc>
        <w:tc>
          <w:tcPr>
            <w:tcW w:w="1842" w:type="dxa"/>
            <w:shd w:val="clear" w:color="auto" w:fill="auto"/>
          </w:tcPr>
          <w:p w:rsidR="00E21D9F" w:rsidRPr="00BB1231" w:rsidRDefault="00E21D9F" w:rsidP="004348F1">
            <w:pPr>
              <w:pStyle w:val="Bezodstpw"/>
              <w:rPr>
                <w:rStyle w:val="Tytuksiki"/>
                <w:rFonts w:ascii="Tahoma" w:hAnsi="Tahoma" w:cs="Tahoma"/>
                <w:i w:val="0"/>
              </w:rPr>
            </w:pPr>
          </w:p>
        </w:tc>
      </w:tr>
    </w:tbl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  <w:r w:rsidRPr="00BB1231">
        <w:rPr>
          <w:rStyle w:val="Tytuksiki"/>
          <w:rFonts w:ascii="Tahoma" w:hAnsi="Tahoma" w:cs="Tahoma"/>
          <w:i w:val="0"/>
        </w:rPr>
        <w:t xml:space="preserve">           Uwaga! Zamawiający wymaga od Wykonawcy wypełnienia powyższej tabeli, udzielając odpowiedzi „TAK” lub „NIE” – dla potwierdzeni</w:t>
      </w:r>
      <w:r>
        <w:rPr>
          <w:rStyle w:val="Tytuksiki"/>
          <w:rFonts w:ascii="Tahoma" w:hAnsi="Tahoma" w:cs="Tahoma"/>
          <w:i w:val="0"/>
        </w:rPr>
        <w:t>a spełnienia wymaganego warunku</w:t>
      </w:r>
      <w:r w:rsidRPr="00BB1231">
        <w:rPr>
          <w:rStyle w:val="Tytuksiki"/>
          <w:rFonts w:ascii="Tahoma" w:hAnsi="Tahoma" w:cs="Tahoma"/>
          <w:i w:val="0"/>
        </w:rPr>
        <w:t>. Wpisanie „NIE” spowoduje odrzucenie oferty.</w:t>
      </w:r>
    </w:p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  <w:bookmarkStart w:id="0" w:name="_GoBack"/>
      <w:bookmarkEnd w:id="0"/>
    </w:p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</w:p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</w:p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  <w:r w:rsidRPr="00BB1231">
        <w:rPr>
          <w:rStyle w:val="Tytuksiki"/>
          <w:rFonts w:ascii="Tahoma" w:hAnsi="Tahoma" w:cs="Tahoma"/>
          <w:i w:val="0"/>
        </w:rPr>
        <w:t xml:space="preserve"> </w:t>
      </w:r>
    </w:p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</w:p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</w:p>
    <w:p w:rsidR="00E21D9F" w:rsidRPr="00BB1231" w:rsidRDefault="00E21D9F" w:rsidP="00E21D9F">
      <w:pPr>
        <w:pStyle w:val="Bezodstpw"/>
        <w:rPr>
          <w:rStyle w:val="Tytuksiki"/>
          <w:rFonts w:ascii="Tahoma" w:hAnsi="Tahoma" w:cs="Tahoma"/>
          <w:i w:val="0"/>
        </w:rPr>
      </w:pPr>
      <w:r w:rsidRPr="00BB1231">
        <w:rPr>
          <w:rStyle w:val="Tytuksiki"/>
          <w:rFonts w:ascii="Tahoma" w:hAnsi="Tahoma" w:cs="Tahoma"/>
          <w:i w:val="0"/>
        </w:rPr>
        <w:t xml:space="preserve">                 ………..………………………………………………..……………………………</w:t>
      </w:r>
      <w:r>
        <w:rPr>
          <w:rStyle w:val="Tytuksiki"/>
          <w:rFonts w:ascii="Tahoma" w:hAnsi="Tahoma" w:cs="Tahoma"/>
          <w:i w:val="0"/>
        </w:rPr>
        <w:t>……………………………</w:t>
      </w:r>
      <w:r w:rsidRPr="00BB1231">
        <w:rPr>
          <w:rStyle w:val="Tytuksiki"/>
          <w:rFonts w:ascii="Tahoma" w:hAnsi="Tahoma" w:cs="Tahoma"/>
          <w:i w:val="0"/>
        </w:rPr>
        <w:t xml:space="preserve">                                                                     </w:t>
      </w:r>
    </w:p>
    <w:p w:rsidR="00E21D9F" w:rsidRPr="00E21D9F" w:rsidRDefault="00E21D9F" w:rsidP="00E21D9F">
      <w:pPr>
        <w:pStyle w:val="Bezodstpw"/>
        <w:tabs>
          <w:tab w:val="left" w:pos="2835"/>
        </w:tabs>
        <w:rPr>
          <w:rStyle w:val="Tytuksiki"/>
          <w:rFonts w:ascii="Tahoma" w:hAnsi="Tahoma" w:cs="Tahoma"/>
          <w:b w:val="0"/>
          <w:sz w:val="16"/>
          <w:szCs w:val="16"/>
        </w:rPr>
      </w:pPr>
      <w:r w:rsidRPr="00E21D9F">
        <w:rPr>
          <w:rStyle w:val="Tytuksiki"/>
          <w:rFonts w:ascii="Tahoma" w:hAnsi="Tahoma" w:cs="Tahoma"/>
          <w:b w:val="0"/>
          <w:sz w:val="16"/>
          <w:szCs w:val="16"/>
        </w:rPr>
        <w:t xml:space="preserve">         (miejscowość, data)                              (pieczęć i podpis osoby / osób wskazanych w dokumencie,  </w:t>
      </w:r>
    </w:p>
    <w:p w:rsidR="00E21D9F" w:rsidRPr="00E21D9F" w:rsidRDefault="00E21D9F" w:rsidP="00E21D9F">
      <w:pPr>
        <w:pStyle w:val="Bezodstpw"/>
        <w:tabs>
          <w:tab w:val="left" w:pos="2835"/>
        </w:tabs>
        <w:rPr>
          <w:rStyle w:val="Tytuksiki"/>
          <w:rFonts w:ascii="Tahoma" w:hAnsi="Tahoma" w:cs="Tahoma"/>
          <w:b w:val="0"/>
          <w:sz w:val="16"/>
          <w:szCs w:val="16"/>
        </w:rPr>
      </w:pPr>
      <w:r w:rsidRPr="00E21D9F">
        <w:rPr>
          <w:rStyle w:val="Tytuksiki"/>
          <w:rFonts w:ascii="Tahoma" w:hAnsi="Tahoma" w:cs="Tahoma"/>
          <w:b w:val="0"/>
          <w:sz w:val="16"/>
          <w:szCs w:val="16"/>
        </w:rPr>
        <w:t xml:space="preserve">                                                                   uprawnionej /uprawnionych  do  występowania  w obrocie </w:t>
      </w:r>
    </w:p>
    <w:p w:rsidR="00E21D9F" w:rsidRPr="00E21D9F" w:rsidRDefault="00E21D9F" w:rsidP="00E21D9F">
      <w:pPr>
        <w:pStyle w:val="Bezodstpw"/>
        <w:tabs>
          <w:tab w:val="left" w:pos="2835"/>
        </w:tabs>
        <w:rPr>
          <w:rStyle w:val="Tytuksiki"/>
          <w:rFonts w:ascii="Tahoma" w:hAnsi="Tahoma" w:cs="Tahoma"/>
          <w:b w:val="0"/>
          <w:sz w:val="16"/>
          <w:szCs w:val="16"/>
        </w:rPr>
      </w:pPr>
      <w:r w:rsidRPr="00E21D9F">
        <w:rPr>
          <w:rStyle w:val="Tytuksiki"/>
          <w:rFonts w:ascii="Tahoma" w:hAnsi="Tahoma" w:cs="Tahoma"/>
          <w:b w:val="0"/>
          <w:sz w:val="16"/>
          <w:szCs w:val="16"/>
        </w:rPr>
        <w:t xml:space="preserve">                                                                   prawnym, reprezentowania Wykonawcy i składania </w:t>
      </w:r>
    </w:p>
    <w:p w:rsidR="00E21D9F" w:rsidRPr="00E21D9F" w:rsidRDefault="00E21D9F" w:rsidP="00E21D9F">
      <w:pPr>
        <w:pStyle w:val="Bezodstpw"/>
        <w:tabs>
          <w:tab w:val="left" w:pos="2835"/>
        </w:tabs>
        <w:rPr>
          <w:rStyle w:val="Tytuksiki"/>
          <w:rFonts w:ascii="Tahoma" w:hAnsi="Tahoma" w:cs="Tahoma"/>
          <w:b w:val="0"/>
          <w:sz w:val="16"/>
          <w:szCs w:val="16"/>
        </w:rPr>
      </w:pPr>
      <w:r w:rsidRPr="00E21D9F">
        <w:rPr>
          <w:rStyle w:val="Tytuksiki"/>
          <w:rFonts w:ascii="Tahoma" w:hAnsi="Tahoma" w:cs="Tahoma"/>
          <w:b w:val="0"/>
          <w:sz w:val="16"/>
          <w:szCs w:val="16"/>
        </w:rPr>
        <w:t xml:space="preserve">                                                                   oświadczeń woli w jego imieniu</w:t>
      </w:r>
    </w:p>
    <w:p w:rsidR="00E21D9F" w:rsidRPr="00E21D9F" w:rsidRDefault="00E21D9F" w:rsidP="00E21D9F">
      <w:pPr>
        <w:rPr>
          <w:rFonts w:ascii="Tahoma" w:eastAsia="Tahoma" w:hAnsi="Tahoma" w:cs="Tahoma"/>
          <w:b/>
          <w:i/>
        </w:rPr>
      </w:pPr>
    </w:p>
    <w:p w:rsidR="00E21D9F" w:rsidRPr="00E21D9F" w:rsidRDefault="00E21D9F" w:rsidP="00E21D9F">
      <w:pPr>
        <w:rPr>
          <w:rFonts w:ascii="Tahoma" w:eastAsia="Tahoma" w:hAnsi="Tahoma" w:cs="Tahoma"/>
        </w:rPr>
      </w:pPr>
    </w:p>
    <w:p w:rsidR="00E21D9F" w:rsidRPr="00E21D9F" w:rsidRDefault="00E21D9F" w:rsidP="00E21D9F">
      <w:pPr>
        <w:rPr>
          <w:rFonts w:ascii="Tahoma" w:eastAsia="Tahoma" w:hAnsi="Tahoma" w:cs="Tahoma"/>
        </w:rPr>
      </w:pPr>
    </w:p>
    <w:p w:rsidR="00546F78" w:rsidRDefault="00E21D9F" w:rsidP="00E21D9F">
      <w:pPr>
        <w:tabs>
          <w:tab w:val="left" w:pos="3514"/>
        </w:tabs>
      </w:pPr>
      <w:r>
        <w:rPr>
          <w:rFonts w:ascii="Tahoma" w:eastAsia="Tahoma" w:hAnsi="Tahoma" w:cs="Tahoma"/>
        </w:rPr>
        <w:tab/>
      </w:r>
    </w:p>
    <w:sectPr w:rsidR="00546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9F" w:rsidRDefault="00E21D9F" w:rsidP="00E21D9F">
      <w:pPr>
        <w:spacing w:before="0" w:after="0" w:line="240" w:lineRule="auto"/>
      </w:pPr>
      <w:r>
        <w:separator/>
      </w:r>
    </w:p>
  </w:endnote>
  <w:endnote w:type="continuationSeparator" w:id="0">
    <w:p w:rsidR="00E21D9F" w:rsidRDefault="00E21D9F" w:rsidP="00E21D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9F" w:rsidRDefault="00E21D9F">
    <w:pPr>
      <w:pStyle w:val="Stopka"/>
    </w:pPr>
    <w:r>
      <w:t>Znak sprawy EZP/220/3/2017</w:t>
    </w:r>
  </w:p>
  <w:p w:rsidR="00E21D9F" w:rsidRDefault="00E21D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9F" w:rsidRDefault="00E21D9F" w:rsidP="00E21D9F">
      <w:pPr>
        <w:spacing w:before="0" w:after="0" w:line="240" w:lineRule="auto"/>
      </w:pPr>
      <w:r>
        <w:separator/>
      </w:r>
    </w:p>
  </w:footnote>
  <w:footnote w:type="continuationSeparator" w:id="0">
    <w:p w:rsidR="00E21D9F" w:rsidRDefault="00E21D9F" w:rsidP="00E21D9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9F"/>
    <w:rsid w:val="00546F78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9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E21D9F"/>
    <w:rPr>
      <w:b/>
      <w:bCs/>
      <w:i/>
      <w:iCs/>
      <w:spacing w:val="0"/>
    </w:rPr>
  </w:style>
  <w:style w:type="paragraph" w:styleId="Bezodstpw">
    <w:name w:val="No Spacing"/>
    <w:uiPriority w:val="1"/>
    <w:qFormat/>
    <w:rsid w:val="00E21D9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D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D9F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D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D9F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9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E21D9F"/>
    <w:rPr>
      <w:b/>
      <w:bCs/>
      <w:i/>
      <w:iCs/>
      <w:spacing w:val="0"/>
    </w:rPr>
  </w:style>
  <w:style w:type="paragraph" w:styleId="Bezodstpw">
    <w:name w:val="No Spacing"/>
    <w:uiPriority w:val="1"/>
    <w:qFormat/>
    <w:rsid w:val="00E21D9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D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D9F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D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D9F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1</cp:revision>
  <dcterms:created xsi:type="dcterms:W3CDTF">2017-03-03T10:08:00Z</dcterms:created>
  <dcterms:modified xsi:type="dcterms:W3CDTF">2017-03-03T10:11:00Z</dcterms:modified>
</cp:coreProperties>
</file>